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D13AB8">
      <w:pPr>
        <w:spacing w:line="240" w:lineRule="atLeast"/>
        <w:ind w:firstLine="1265" w:firstLineChars="350"/>
        <w:jc w:val="center"/>
        <w:rPr>
          <w:rFonts w:ascii="Times New Roman" w:hAnsi="Times New Roman" w:cs="Times New Roman"/>
          <w:b/>
          <w:bCs/>
          <w:sz w:val="28"/>
          <w:szCs w:val="28"/>
        </w:rPr>
      </w:pPr>
      <w:r>
        <w:rPr>
          <w:rFonts w:ascii="Times New Roman" w:hAnsi="Times New Roman" w:eastAsia="宋体" w:cs="Times New Roman"/>
          <w:b/>
          <w:bCs/>
          <w:sz w:val="36"/>
          <w:szCs w:val="28"/>
        </w:rPr>
        <w:t xml:space="preserve">SD382 </w:t>
      </w:r>
      <w:r>
        <w:rPr>
          <w:rFonts w:hint="eastAsia" w:ascii="Times New Roman" w:hAnsi="Times New Roman" w:eastAsia="宋体" w:cs="Times New Roman"/>
          <w:b/>
          <w:bCs/>
          <w:sz w:val="36"/>
          <w:szCs w:val="28"/>
        </w:rPr>
        <w:t xml:space="preserve"> </w:t>
      </w:r>
      <w:r>
        <w:rPr>
          <w:rFonts w:ascii="Times New Roman" w:hAnsi="Times New Roman" w:eastAsia="宋体" w:cs="Times New Roman"/>
          <w:b/>
          <w:bCs/>
          <w:sz w:val="36"/>
          <w:szCs w:val="28"/>
        </w:rPr>
        <w:t>Kerosene smoke point tester</w:t>
      </w:r>
    </w:p>
    <w:p w14:paraId="73EFC933">
      <w:pPr>
        <w:spacing w:line="240" w:lineRule="atLeast"/>
        <w:jc w:val="center"/>
        <w:rPr>
          <w:rFonts w:ascii="Times New Roman" w:hAnsi="Times New Roman" w:cs="Times New Roman"/>
          <w:sz w:val="28"/>
          <w:szCs w:val="28"/>
        </w:rPr>
      </w:pPr>
      <w:r>
        <w:drawing>
          <wp:inline distT="0" distB="0" distL="114300" distR="114300">
            <wp:extent cx="1448435" cy="2878455"/>
            <wp:effectExtent l="0" t="0" r="18415" b="17145"/>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6"/>
                    <a:stretch>
                      <a:fillRect/>
                    </a:stretch>
                  </pic:blipFill>
                  <pic:spPr>
                    <a:xfrm>
                      <a:off x="0" y="0"/>
                      <a:ext cx="1448435" cy="2878455"/>
                    </a:xfrm>
                    <a:prstGeom prst="rect">
                      <a:avLst/>
                    </a:prstGeom>
                    <a:noFill/>
                    <a:ln>
                      <a:noFill/>
                    </a:ln>
                  </pic:spPr>
                </pic:pic>
              </a:graphicData>
            </a:graphic>
          </wp:inline>
        </w:drawing>
      </w:r>
      <w:r>
        <w:rPr>
          <w:rFonts w:ascii="Times New Roman" w:hAnsi="Times New Roman" w:eastAsia="宋体" w:cs="Times New Roman"/>
          <w:sz w:val="28"/>
          <w:szCs w:val="28"/>
        </w:rPr>
        <w:drawing>
          <wp:inline distT="0" distB="0" distL="114300" distR="114300">
            <wp:extent cx="1997075" cy="2369820"/>
            <wp:effectExtent l="19050" t="0" r="3060" b="0"/>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7" cstate="print"/>
                    <a:stretch>
                      <a:fillRect/>
                    </a:stretch>
                  </pic:blipFill>
                  <pic:spPr>
                    <a:xfrm>
                      <a:off x="0" y="0"/>
                      <a:ext cx="2002027" cy="2376143"/>
                    </a:xfrm>
                    <a:prstGeom prst="rect">
                      <a:avLst/>
                    </a:prstGeom>
                    <a:noFill/>
                    <a:ln w="9525">
                      <a:noFill/>
                    </a:ln>
                  </pic:spPr>
                </pic:pic>
              </a:graphicData>
            </a:graphic>
          </wp:inline>
        </w:drawing>
      </w:r>
    </w:p>
    <w:p w14:paraId="6C75749E">
      <w:pPr>
        <w:spacing w:line="240" w:lineRule="atLeast"/>
        <w:ind w:firstLine="560" w:firstLineChars="200"/>
        <w:rPr>
          <w:rFonts w:ascii="Times New Roman" w:hAnsi="Times New Roman" w:cs="Times New Roman"/>
          <w:sz w:val="28"/>
          <w:szCs w:val="28"/>
        </w:rPr>
      </w:pPr>
      <w:r>
        <w:rPr>
          <w:rFonts w:ascii="Times New Roman" w:hAnsi="Times New Roman" w:cs="Times New Roman"/>
          <w:sz w:val="28"/>
          <w:szCs w:val="28"/>
        </w:rPr>
        <w:t>Kerosene smoke point tester is designed and manufactured according to GB/T382-</w:t>
      </w:r>
      <w:r>
        <w:rPr>
          <w:rFonts w:hint="eastAsia" w:ascii="Times New Roman" w:hAnsi="Times New Roman" w:cs="Times New Roman"/>
          <w:sz w:val="28"/>
          <w:szCs w:val="28"/>
          <w:lang w:val="en-US" w:eastAsia="zh-CN"/>
        </w:rPr>
        <w:t>2017</w:t>
      </w:r>
      <w:r>
        <w:rPr>
          <w:rFonts w:ascii="Times New Roman" w:hAnsi="Times New Roman" w:cs="Times New Roman"/>
          <w:sz w:val="28"/>
          <w:szCs w:val="28"/>
        </w:rPr>
        <w:t xml:space="preserve"> "kerosene smoke point determination method" standard provisions.</w:t>
      </w:r>
    </w:p>
    <w:p w14:paraId="4E049E77">
      <w:pPr>
        <w:spacing w:line="240" w:lineRule="atLeast"/>
        <w:ind w:firstLine="560" w:firstLineChars="200"/>
        <w:rPr>
          <w:rFonts w:ascii="Times New Roman" w:hAnsi="Times New Roman" w:cs="Times New Roman"/>
          <w:sz w:val="28"/>
          <w:szCs w:val="28"/>
        </w:rPr>
      </w:pPr>
      <w:r>
        <w:rPr>
          <w:rFonts w:ascii="Times New Roman" w:hAnsi="Times New Roman" w:cs="Times New Roman"/>
          <w:sz w:val="28"/>
          <w:szCs w:val="28"/>
        </w:rPr>
        <w:t>For the determination of the smoke point of kerosene and jet fuel for lamps, that is, the maximum height of a smokeless flame under specified conditions when a sample is burned in a standard lamp, expressed in millimeters.Kerosene and jet fuel smoke point lampwick comply with GB/T382-</w:t>
      </w:r>
      <w:r>
        <w:rPr>
          <w:rFonts w:hint="eastAsia" w:ascii="Times New Roman" w:hAnsi="Times New Roman" w:cs="Times New Roman"/>
          <w:sz w:val="28"/>
          <w:szCs w:val="28"/>
          <w:lang w:val="en-US" w:eastAsia="zh-CN"/>
        </w:rPr>
        <w:t>2017</w:t>
      </w:r>
      <w:r>
        <w:rPr>
          <w:rFonts w:ascii="Times New Roman" w:hAnsi="Times New Roman" w:cs="Times New Roman"/>
          <w:sz w:val="28"/>
          <w:szCs w:val="28"/>
        </w:rPr>
        <w:t>.Determination of smoke point of kerosene and jet fuel GT;ASTM D 1322Standard Test Method for Kerosene and Aircraft Turbine Fuel Smoke Point, for the determination of the smoke point of kerosene and jet fuel for lamps.</w:t>
      </w:r>
    </w:p>
    <w:p w14:paraId="2AFB1CE3">
      <w:pPr>
        <w:spacing w:line="240" w:lineRule="atLeast"/>
        <w:ind w:firstLine="560" w:firstLineChars="200"/>
        <w:rPr>
          <w:rFonts w:ascii="Times New Roman" w:hAnsi="Times New Roman" w:cs="Times New Roman"/>
          <w:sz w:val="28"/>
          <w:szCs w:val="28"/>
        </w:rPr>
      </w:pPr>
      <w:r>
        <w:rPr>
          <w:rFonts w:ascii="Times New Roman" w:hAnsi="Times New Roman" w:cs="Times New Roman"/>
          <w:sz w:val="28"/>
          <w:szCs w:val="28"/>
        </w:rPr>
        <w:t>Smoke point, also known as the height of smokeless flame, refers to the maximum height of the smokeless flame when the sample is burned in a standard lamp under specified conditions, expressed in millimeters (mm).</w:t>
      </w:r>
    </w:p>
    <w:p w14:paraId="76E0E499">
      <w:pPr>
        <w:spacing w:line="240" w:lineRule="atLeast"/>
        <w:rPr>
          <w:rFonts w:ascii="Times New Roman" w:hAnsi="Times New Roman" w:cs="Times New Roman"/>
          <w:sz w:val="28"/>
          <w:szCs w:val="28"/>
        </w:rPr>
      </w:pPr>
      <w:r>
        <w:rPr>
          <w:rFonts w:ascii="Times New Roman" w:hAnsi="Times New Roman" w:cs="Times New Roman"/>
          <w:sz w:val="28"/>
          <w:szCs w:val="28"/>
        </w:rPr>
        <w:t>The sample oil is burned in a standard lamp, and the change of flame height is reflected on the millimeter scale background.</w:t>
      </w:r>
    </w:p>
    <w:p w14:paraId="4C420195">
      <w:pPr>
        <w:spacing w:line="240" w:lineRule="atLeast"/>
        <w:ind w:firstLine="560" w:firstLineChars="200"/>
        <w:rPr>
          <w:rFonts w:ascii="Times New Roman" w:hAnsi="Times New Roman" w:cs="Times New Roman"/>
          <w:sz w:val="28"/>
          <w:szCs w:val="28"/>
        </w:rPr>
      </w:pPr>
      <w:r>
        <w:rPr>
          <w:rFonts w:ascii="Times New Roman" w:hAnsi="Times New Roman" w:cs="Times New Roman"/>
          <w:sz w:val="28"/>
          <w:szCs w:val="28"/>
        </w:rPr>
        <w:t>During measurement, the wick is raised to the point where there is smoke, and then lowered to the point where the smoke tail has just disappeared. The flame height at this point is the smoke point of the sample.</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27"/>
        <w:gridCol w:w="6379"/>
      </w:tblGrid>
      <w:tr w14:paraId="647CA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27" w:type="dxa"/>
          </w:tcPr>
          <w:p w14:paraId="018AA077">
            <w:pPr>
              <w:spacing w:line="240" w:lineRule="atLeast"/>
              <w:rPr>
                <w:rFonts w:ascii="Times New Roman" w:hAnsi="Times New Roman" w:cs="Times New Roman"/>
                <w:sz w:val="28"/>
                <w:szCs w:val="28"/>
              </w:rPr>
            </w:pPr>
            <w:r>
              <w:rPr>
                <w:rFonts w:ascii="Times New Roman" w:hAnsi="Times New Roman" w:cs="Times New Roman"/>
                <w:sz w:val="28"/>
                <w:szCs w:val="28"/>
              </w:rPr>
              <w:t>Compliant with standards</w:t>
            </w:r>
          </w:p>
        </w:tc>
        <w:tc>
          <w:tcPr>
            <w:tcW w:w="6379" w:type="dxa"/>
          </w:tcPr>
          <w:p w14:paraId="5A0474D0">
            <w:pPr>
              <w:widowControl/>
              <w:spacing w:line="240" w:lineRule="atLeast"/>
              <w:ind w:firstLine="280" w:firstLineChars="100"/>
              <w:jc w:val="left"/>
              <w:rPr>
                <w:rFonts w:ascii="Times New Roman" w:hAnsi="Times New Roman" w:eastAsia="宋体" w:cs="Times New Roman"/>
                <w:kern w:val="0"/>
                <w:sz w:val="28"/>
                <w:szCs w:val="28"/>
              </w:rPr>
            </w:pPr>
            <w:r>
              <w:rPr>
                <w:rFonts w:ascii="Times New Roman" w:hAnsi="Times New Roman" w:cs="Times New Roman"/>
                <w:sz w:val="28"/>
                <w:szCs w:val="28"/>
              </w:rPr>
              <w:t>GB/T382</w:t>
            </w:r>
          </w:p>
        </w:tc>
      </w:tr>
      <w:tr w14:paraId="347F4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27" w:type="dxa"/>
          </w:tcPr>
          <w:p w14:paraId="58918AFF">
            <w:pPr>
              <w:spacing w:line="240" w:lineRule="atLeast"/>
              <w:rPr>
                <w:rFonts w:ascii="Times New Roman" w:hAnsi="Times New Roman" w:cs="Times New Roman"/>
                <w:sz w:val="28"/>
                <w:szCs w:val="28"/>
              </w:rPr>
            </w:pPr>
            <w:r>
              <w:rPr>
                <w:rFonts w:ascii="Times New Roman" w:hAnsi="Times New Roman" w:cs="Times New Roman"/>
                <w:sz w:val="28"/>
                <w:szCs w:val="28"/>
              </w:rPr>
              <w:t>Test sample</w:t>
            </w:r>
          </w:p>
        </w:tc>
        <w:tc>
          <w:tcPr>
            <w:tcW w:w="6379" w:type="dxa"/>
          </w:tcPr>
          <w:p w14:paraId="0F124FBB">
            <w:pPr>
              <w:widowControl/>
              <w:spacing w:line="240" w:lineRule="atLeast"/>
              <w:jc w:val="left"/>
              <w:rPr>
                <w:rFonts w:ascii="Times New Roman" w:hAnsi="Times New Roman" w:eastAsia="宋体" w:cs="Times New Roman"/>
                <w:kern w:val="0"/>
                <w:sz w:val="28"/>
                <w:szCs w:val="28"/>
              </w:rPr>
            </w:pPr>
            <w:r>
              <w:rPr>
                <w:rFonts w:ascii="Times New Roman" w:hAnsi="Times New Roman" w:eastAsia="宋体" w:cs="Times New Roman"/>
                <w:kern w:val="0"/>
                <w:sz w:val="28"/>
                <w:szCs w:val="28"/>
              </w:rPr>
              <w:t>Petroleum and chemical products</w:t>
            </w:r>
          </w:p>
        </w:tc>
      </w:tr>
      <w:tr w14:paraId="21D99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27" w:type="dxa"/>
          </w:tcPr>
          <w:p w14:paraId="53BB7FDC">
            <w:pPr>
              <w:spacing w:line="240" w:lineRule="atLeast"/>
              <w:rPr>
                <w:rFonts w:ascii="Times New Roman" w:hAnsi="Times New Roman" w:cs="Times New Roman"/>
                <w:sz w:val="28"/>
                <w:szCs w:val="28"/>
              </w:rPr>
            </w:pPr>
            <w:r>
              <w:rPr>
                <w:rFonts w:ascii="Times New Roman" w:hAnsi="Times New Roman" w:cs="Times New Roman"/>
                <w:sz w:val="28"/>
                <w:szCs w:val="28"/>
              </w:rPr>
              <w:t>detection result</w:t>
            </w:r>
          </w:p>
        </w:tc>
        <w:tc>
          <w:tcPr>
            <w:tcW w:w="6379" w:type="dxa"/>
          </w:tcPr>
          <w:p w14:paraId="08F9B23E">
            <w:pPr>
              <w:spacing w:line="240" w:lineRule="atLeast"/>
              <w:rPr>
                <w:rFonts w:ascii="Times New Roman" w:hAnsi="Times New Roman" w:eastAsia="宋体" w:cs="Times New Roman"/>
                <w:kern w:val="0"/>
                <w:sz w:val="28"/>
                <w:szCs w:val="28"/>
              </w:rPr>
            </w:pPr>
            <w:r>
              <w:rPr>
                <w:rFonts w:ascii="Times New Roman" w:hAnsi="Times New Roman" w:cs="Times New Roman"/>
                <w:kern w:val="0"/>
                <w:sz w:val="28"/>
                <w:szCs w:val="28"/>
              </w:rPr>
              <w:t>Measure the smoke point of kerosene and jet fuel, which is the maximum height of a smokeless flame when the sample is burned under specified conditions in a standard lamp, expressed in millimeters</w:t>
            </w:r>
          </w:p>
        </w:tc>
      </w:tr>
    </w:tbl>
    <w:p w14:paraId="5596D8E2">
      <w:pPr>
        <w:spacing w:line="240" w:lineRule="atLeast"/>
        <w:rPr>
          <w:rFonts w:ascii="Times New Roman" w:hAnsi="Times New Roman" w:cs="Times New Roman"/>
          <w:b/>
          <w:bCs/>
          <w:sz w:val="32"/>
          <w:szCs w:val="28"/>
        </w:rPr>
      </w:pPr>
      <w:r>
        <w:rPr>
          <w:rFonts w:ascii="Times New Roman" w:hAnsi="Times New Roman" w:eastAsia="BatangChe" w:cs="Times New Roman"/>
          <w:b/>
          <w:bCs/>
          <w:sz w:val="32"/>
          <w:szCs w:val="28"/>
        </w:rPr>
        <w:t>Functional features</w:t>
      </w:r>
    </w:p>
    <w:p w14:paraId="47E86BD1">
      <w:pPr>
        <w:pStyle w:val="13"/>
        <w:numPr>
          <w:ilvl w:val="0"/>
          <w:numId w:val="1"/>
        </w:numPr>
        <w:spacing w:line="240" w:lineRule="atLeast"/>
        <w:ind w:firstLineChars="0"/>
        <w:rPr>
          <w:rFonts w:ascii="Times New Roman" w:hAnsi="Times New Roman" w:eastAsia="BatangChe" w:cs="Times New Roman"/>
          <w:sz w:val="28"/>
          <w:szCs w:val="28"/>
        </w:rPr>
      </w:pPr>
      <w:r>
        <w:rPr>
          <w:rFonts w:ascii="Times New Roman" w:hAnsi="Times New Roman" w:eastAsia="BatangChe" w:cs="Times New Roman"/>
          <w:sz w:val="28"/>
          <w:szCs w:val="28"/>
        </w:rPr>
        <w:t>The kerosene smoke point tester adopts millimeter scale background, which can clearly read the data</w:t>
      </w:r>
    </w:p>
    <w:p w14:paraId="763E9082">
      <w:pPr>
        <w:pStyle w:val="13"/>
        <w:numPr>
          <w:ilvl w:val="0"/>
          <w:numId w:val="1"/>
        </w:numPr>
        <w:spacing w:line="240" w:lineRule="atLeast"/>
        <w:ind w:firstLineChars="0"/>
        <w:rPr>
          <w:rFonts w:ascii="Times New Roman" w:hAnsi="Times New Roman" w:eastAsia="BatangChe" w:cs="Times New Roman"/>
          <w:sz w:val="28"/>
          <w:szCs w:val="28"/>
        </w:rPr>
      </w:pPr>
      <w:r>
        <w:rPr>
          <w:rFonts w:ascii="Times New Roman" w:hAnsi="Times New Roman" w:eastAsia="BatangChe" w:cs="Times New Roman"/>
          <w:sz w:val="28"/>
          <w:szCs w:val="28"/>
        </w:rPr>
        <w:t>The whole instrument structure is compact and complete</w:t>
      </w:r>
    </w:p>
    <w:p w14:paraId="5DDEEF66">
      <w:pPr>
        <w:pStyle w:val="13"/>
        <w:numPr>
          <w:ilvl w:val="0"/>
          <w:numId w:val="1"/>
        </w:numPr>
        <w:spacing w:line="240" w:lineRule="atLeast"/>
        <w:ind w:firstLineChars="0"/>
        <w:rPr>
          <w:rFonts w:ascii="Times New Roman" w:hAnsi="Times New Roman" w:eastAsia="BatangChe" w:cs="Times New Roman"/>
          <w:sz w:val="28"/>
          <w:szCs w:val="28"/>
        </w:rPr>
      </w:pPr>
      <w:r>
        <w:rPr>
          <w:rFonts w:ascii="Times New Roman" w:hAnsi="Times New Roman" w:eastAsia="BatangChe" w:cs="Times New Roman"/>
          <w:sz w:val="28"/>
          <w:szCs w:val="28"/>
        </w:rPr>
        <w:t xml:space="preserve"> </w:t>
      </w:r>
      <w:r>
        <w:rPr>
          <w:rFonts w:hint="eastAsia" w:ascii="Times New Roman" w:hAnsi="Times New Roman" w:cs="Times New Roman"/>
          <w:sz w:val="28"/>
          <w:szCs w:val="28"/>
        </w:rPr>
        <w:t>T</w:t>
      </w:r>
      <w:r>
        <w:rPr>
          <w:rFonts w:ascii="Times New Roman" w:hAnsi="Times New Roman" w:eastAsia="BatangChe" w:cs="Times New Roman"/>
          <w:sz w:val="28"/>
          <w:szCs w:val="28"/>
        </w:rPr>
        <w:t>he kerosene smoke point tester adopts plug type structure, the replacement of lampwick is more convenient</w:t>
      </w:r>
    </w:p>
    <w:p w14:paraId="06E87576">
      <w:pPr>
        <w:pStyle w:val="13"/>
        <w:numPr>
          <w:ilvl w:val="0"/>
          <w:numId w:val="1"/>
        </w:numPr>
        <w:spacing w:line="240" w:lineRule="atLeast"/>
        <w:ind w:firstLineChars="0"/>
        <w:rPr>
          <w:rFonts w:ascii="Times New Roman" w:hAnsi="Times New Roman" w:eastAsia="BatangChe" w:cs="Times New Roman"/>
          <w:sz w:val="28"/>
          <w:szCs w:val="28"/>
        </w:rPr>
      </w:pPr>
      <w:r>
        <w:rPr>
          <w:rFonts w:ascii="Times New Roman" w:hAnsi="Times New Roman" w:eastAsia="BatangChe" w:cs="Times New Roman"/>
          <w:sz w:val="28"/>
          <w:szCs w:val="28"/>
        </w:rPr>
        <w:t>The kerosene smoke point tester adopts special glass observation window, easy to operate</w:t>
      </w:r>
    </w:p>
    <w:p w14:paraId="541EE9B0">
      <w:pPr>
        <w:numPr>
          <w:ilvl w:val="0"/>
          <w:numId w:val="1"/>
        </w:numPr>
        <w:spacing w:line="240" w:lineRule="atLeast"/>
        <w:rPr>
          <w:rFonts w:ascii="Times New Roman" w:hAnsi="Times New Roman" w:eastAsia="BatangChe" w:cs="Times New Roman"/>
          <w:sz w:val="28"/>
          <w:szCs w:val="28"/>
        </w:rPr>
      </w:pPr>
      <w:r>
        <w:rPr>
          <w:rFonts w:ascii="Times New Roman" w:hAnsi="Times New Roman" w:eastAsia="BatangChe" w:cs="Times New Roman"/>
          <w:sz w:val="28"/>
          <w:szCs w:val="28"/>
        </w:rPr>
        <w:t>The kerosene smoke point tester is easy to operate and has high repeatability</w:t>
      </w:r>
    </w:p>
    <w:p w14:paraId="23551C40">
      <w:pPr>
        <w:spacing w:line="240" w:lineRule="atLeast"/>
        <w:rPr>
          <w:rFonts w:ascii="Times New Roman" w:hAnsi="Times New Roman" w:eastAsia="BatangChe" w:cs="Times New Roman"/>
          <w:b/>
          <w:bCs/>
          <w:sz w:val="32"/>
          <w:szCs w:val="28"/>
        </w:rPr>
      </w:pPr>
      <w:r>
        <w:rPr>
          <w:rFonts w:ascii="Times New Roman" w:hAnsi="Times New Roman" w:eastAsia="BatangChe" w:cs="Times New Roman"/>
          <w:b/>
          <w:bCs/>
          <w:sz w:val="32"/>
          <w:szCs w:val="28"/>
        </w:rPr>
        <w:t>Technical parameters</w:t>
      </w:r>
    </w:p>
    <w:p w14:paraId="2926739E">
      <w:pPr>
        <w:pStyle w:val="13"/>
        <w:numPr>
          <w:ilvl w:val="0"/>
          <w:numId w:val="2"/>
        </w:numPr>
        <w:spacing w:line="240" w:lineRule="atLeast"/>
        <w:ind w:left="0" w:firstLine="0" w:firstLineChars="0"/>
        <w:rPr>
          <w:rFonts w:ascii="Times New Roman" w:hAnsi="Times New Roman" w:eastAsia="BatangChe" w:cs="Times New Roman"/>
          <w:sz w:val="28"/>
          <w:szCs w:val="28"/>
        </w:rPr>
      </w:pPr>
      <w:r>
        <w:rPr>
          <w:rFonts w:ascii="Times New Roman" w:hAnsi="Times New Roman" w:eastAsia="BatangChe" w:cs="Times New Roman"/>
          <w:sz w:val="28"/>
          <w:szCs w:val="28"/>
        </w:rPr>
        <w:t>Ruler: the ruler should be marked with white on the black glass, and the white or black stripes of 2 mm in the center of the ruler should be vertically divided into two halves.The measuring range of the ruler shall be 50 mm and the grading shall be 1 mm.Number every 10 millimeters and mark every 5 millimeters with longer lines.</w:t>
      </w:r>
    </w:p>
    <w:p w14:paraId="460C33B3">
      <w:pPr>
        <w:pStyle w:val="13"/>
        <w:numPr>
          <w:ilvl w:val="0"/>
          <w:numId w:val="2"/>
        </w:numPr>
        <w:spacing w:line="240" w:lineRule="atLeast"/>
        <w:ind w:firstLineChars="0"/>
        <w:rPr>
          <w:rFonts w:ascii="Times New Roman" w:hAnsi="Times New Roman" w:eastAsia="BatangChe" w:cs="Times New Roman"/>
          <w:sz w:val="28"/>
          <w:szCs w:val="28"/>
        </w:rPr>
      </w:pPr>
      <w:r>
        <w:rPr>
          <w:rFonts w:ascii="Times New Roman" w:hAnsi="Times New Roman" w:eastAsia="BatangChe" w:cs="Times New Roman"/>
          <w:sz w:val="28"/>
          <w:szCs w:val="28"/>
        </w:rPr>
        <w:t>Wick guide: the top of the wick guide should be precisely at the same level as the zero point on the ruler.</w:t>
      </w:r>
    </w:p>
    <w:p w14:paraId="266FB20F">
      <w:pPr>
        <w:pStyle w:val="13"/>
        <w:numPr>
          <w:ilvl w:val="0"/>
          <w:numId w:val="2"/>
        </w:numPr>
        <w:spacing w:line="240" w:lineRule="atLeast"/>
        <w:ind w:firstLineChars="0"/>
        <w:rPr>
          <w:rFonts w:ascii="Times New Roman" w:hAnsi="Times New Roman" w:eastAsia="BatangChe" w:cs="Times New Roman"/>
          <w:sz w:val="28"/>
          <w:szCs w:val="28"/>
        </w:rPr>
      </w:pPr>
      <w:r>
        <w:rPr>
          <w:rFonts w:ascii="Times New Roman" w:hAnsi="Times New Roman" w:eastAsia="BatangChe" w:cs="Times New Roman"/>
          <w:sz w:val="28"/>
          <w:szCs w:val="28"/>
        </w:rPr>
        <w:t>Lifting seat: the total distance of travel should not be less than 10 mm, smooth and uniform when moving.</w:t>
      </w:r>
    </w:p>
    <w:p w14:paraId="312E3F3F">
      <w:pPr>
        <w:pStyle w:val="13"/>
        <w:numPr>
          <w:ilvl w:val="0"/>
          <w:numId w:val="2"/>
        </w:numPr>
        <w:spacing w:line="240" w:lineRule="atLeast"/>
        <w:ind w:firstLineChars="0"/>
        <w:rPr>
          <w:rFonts w:hint="eastAsia" w:ascii="Times New Roman" w:hAnsi="Times New Roman" w:cs="Times New Roman"/>
          <w:sz w:val="28"/>
          <w:szCs w:val="28"/>
        </w:rPr>
      </w:pPr>
      <w:r>
        <w:rPr>
          <w:rFonts w:ascii="Times New Roman" w:hAnsi="Times New Roman" w:eastAsia="BatangChe" w:cs="Times New Roman"/>
          <w:sz w:val="28"/>
          <w:szCs w:val="28"/>
        </w:rPr>
        <w:t>Ф oil container: fuel reservoir is mainly composed of fuel reservoir ontology, the wick and other components of the pipe and air duct, the critical dimension in line with the GB/T382,</w:t>
      </w:r>
    </w:p>
    <w:p w14:paraId="63C2E87A">
      <w:pPr>
        <w:pStyle w:val="13"/>
        <w:numPr>
          <w:ilvl w:val="0"/>
          <w:numId w:val="2"/>
        </w:numPr>
        <w:spacing w:line="240" w:lineRule="atLeast"/>
        <w:ind w:firstLineChars="0"/>
        <w:rPr>
          <w:rFonts w:ascii="Times New Roman" w:hAnsi="Times New Roman" w:eastAsia="BatangChe" w:cs="Times New Roman"/>
          <w:sz w:val="28"/>
          <w:szCs w:val="28"/>
        </w:rPr>
      </w:pPr>
      <w:r>
        <w:rPr>
          <w:rFonts w:hint="eastAsia" w:ascii="Times New Roman" w:hAnsi="Times New Roman" w:cs="Times New Roman"/>
          <w:sz w:val="28"/>
          <w:szCs w:val="28"/>
        </w:rPr>
        <w:t>O</w:t>
      </w:r>
      <w:r>
        <w:rPr>
          <w:rFonts w:ascii="Times New Roman" w:hAnsi="Times New Roman" w:eastAsia="BatangChe" w:cs="Times New Roman"/>
          <w:sz w:val="28"/>
          <w:szCs w:val="28"/>
        </w:rPr>
        <w:t>il container ontology Ф diameter is 21.25 0.05 mm, length of 109.0 0.05 mm;</w:t>
      </w:r>
    </w:p>
    <w:p w14:paraId="51117C63">
      <w:pPr>
        <w:pStyle w:val="13"/>
        <w:numPr>
          <w:ilvl w:val="0"/>
          <w:numId w:val="2"/>
        </w:numPr>
        <w:spacing w:line="240" w:lineRule="atLeast"/>
        <w:ind w:firstLineChars="0"/>
        <w:rPr>
          <w:rFonts w:ascii="Times New Roman" w:hAnsi="Times New Roman" w:eastAsia="BatangChe" w:cs="Times New Roman"/>
          <w:sz w:val="28"/>
          <w:szCs w:val="28"/>
        </w:rPr>
      </w:pPr>
      <w:r>
        <w:rPr>
          <w:rFonts w:ascii="Times New Roman" w:hAnsi="Times New Roman" w:eastAsia="BatangChe" w:cs="Times New Roman"/>
          <w:sz w:val="28"/>
          <w:szCs w:val="28"/>
        </w:rPr>
        <w:t>Wick pipe inner Ф 4.7 0.05 mm, length is 82.0 0.05 mm;</w:t>
      </w:r>
    </w:p>
    <w:p w14:paraId="7745BCFC">
      <w:pPr>
        <w:pStyle w:val="13"/>
        <w:numPr>
          <w:ilvl w:val="0"/>
          <w:numId w:val="2"/>
        </w:numPr>
        <w:spacing w:line="240" w:lineRule="atLeast"/>
        <w:ind w:firstLineChars="0"/>
        <w:rPr>
          <w:rFonts w:ascii="Times New Roman" w:hAnsi="Times New Roman" w:eastAsia="BatangChe" w:cs="Times New Roman"/>
          <w:sz w:val="28"/>
          <w:szCs w:val="28"/>
        </w:rPr>
      </w:pPr>
      <w:r>
        <w:rPr>
          <w:rFonts w:ascii="Times New Roman" w:hAnsi="Times New Roman" w:eastAsia="BatangChe" w:cs="Times New Roman"/>
          <w:sz w:val="28"/>
          <w:szCs w:val="28"/>
        </w:rPr>
        <w:t>Air duct Ф diameter is 3.5 0.05 mm, 90.0 0.05 mm length.</w:t>
      </w:r>
    </w:p>
    <w:p w14:paraId="6480C27E">
      <w:pPr>
        <w:pStyle w:val="13"/>
        <w:numPr>
          <w:ilvl w:val="0"/>
          <w:numId w:val="2"/>
        </w:numPr>
        <w:spacing w:line="240" w:lineRule="atLeast"/>
        <w:ind w:firstLineChars="0"/>
        <w:rPr>
          <w:rFonts w:hint="eastAsia" w:ascii="Times New Roman" w:hAnsi="Times New Roman" w:cs="Times New Roman"/>
          <w:sz w:val="28"/>
          <w:szCs w:val="28"/>
        </w:rPr>
      </w:pPr>
      <w:r>
        <w:rPr>
          <w:rFonts w:ascii="Times New Roman" w:hAnsi="Times New Roman" w:eastAsia="BatangChe" w:cs="Times New Roman"/>
          <w:sz w:val="28"/>
          <w:szCs w:val="28"/>
        </w:rPr>
        <w:t xml:space="preserve">Packing size: </w:t>
      </w:r>
      <w:r>
        <w:rPr>
          <w:rFonts w:hint="eastAsia" w:ascii="Times New Roman" w:hAnsi="Times New Roman" w:eastAsia="宋体" w:cs="Times New Roman"/>
          <w:sz w:val="28"/>
          <w:szCs w:val="28"/>
          <w:lang w:val="en-US" w:eastAsia="zh-CN"/>
        </w:rPr>
        <w:t>28</w:t>
      </w:r>
      <w:r>
        <w:rPr>
          <w:rFonts w:ascii="Times New Roman" w:hAnsi="Times New Roman" w:eastAsia="BatangChe" w:cs="Times New Roman"/>
          <w:sz w:val="28"/>
          <w:szCs w:val="28"/>
        </w:rPr>
        <w:t>0</w:t>
      </w:r>
      <w:r>
        <w:rPr>
          <w:rFonts w:hint="eastAsia" w:ascii="Times New Roman" w:hAnsi="Times New Roman" w:eastAsia="BatangChe" w:cs="Times New Roman"/>
          <w:sz w:val="28"/>
          <w:szCs w:val="28"/>
        </w:rPr>
        <w:t>×</w:t>
      </w:r>
      <w:r>
        <w:rPr>
          <w:rFonts w:ascii="Times New Roman" w:hAnsi="Times New Roman" w:eastAsia="BatangChe" w:cs="Times New Roman"/>
          <w:sz w:val="28"/>
          <w:szCs w:val="28"/>
        </w:rPr>
        <w:t>2</w:t>
      </w:r>
      <w:r>
        <w:rPr>
          <w:rFonts w:hint="eastAsia" w:ascii="Times New Roman" w:hAnsi="Times New Roman" w:eastAsia="宋体" w:cs="Times New Roman"/>
          <w:sz w:val="28"/>
          <w:szCs w:val="28"/>
          <w:lang w:val="en-US" w:eastAsia="zh-CN"/>
        </w:rPr>
        <w:t>60</w:t>
      </w:r>
      <w:r>
        <w:rPr>
          <w:rFonts w:hint="eastAsia" w:ascii="Times New Roman" w:hAnsi="Times New Roman" w:eastAsia="BatangChe" w:cs="Times New Roman"/>
          <w:sz w:val="28"/>
          <w:szCs w:val="28"/>
        </w:rPr>
        <w:t>×</w:t>
      </w:r>
      <w:r>
        <w:rPr>
          <w:rFonts w:hint="eastAsia" w:ascii="Times New Roman" w:hAnsi="Times New Roman" w:eastAsia="宋体" w:cs="Times New Roman"/>
          <w:sz w:val="28"/>
          <w:szCs w:val="28"/>
          <w:lang w:val="en-US" w:eastAsia="zh-CN"/>
        </w:rPr>
        <w:t>495</w:t>
      </w:r>
      <w:r>
        <w:rPr>
          <w:rFonts w:ascii="Times New Roman" w:hAnsi="Times New Roman" w:eastAsia="BatangChe" w:cs="Times New Roman"/>
          <w:sz w:val="28"/>
          <w:szCs w:val="28"/>
        </w:rPr>
        <w:t xml:space="preserve"> </w:t>
      </w:r>
    </w:p>
    <w:p w14:paraId="6A3F08C1">
      <w:pPr>
        <w:pStyle w:val="13"/>
        <w:numPr>
          <w:ilvl w:val="0"/>
          <w:numId w:val="2"/>
        </w:numPr>
        <w:spacing w:line="240" w:lineRule="atLeast"/>
        <w:ind w:firstLineChars="0"/>
        <w:rPr>
          <w:rFonts w:ascii="Times New Roman" w:hAnsi="Times New Roman" w:cs="Times New Roman"/>
          <w:sz w:val="28"/>
          <w:szCs w:val="28"/>
        </w:rPr>
      </w:pPr>
      <w:r>
        <w:rPr>
          <w:rFonts w:ascii="Times New Roman" w:hAnsi="Times New Roman" w:eastAsia="BatangChe" w:cs="Times New Roman"/>
          <w:sz w:val="28"/>
          <w:szCs w:val="28"/>
        </w:rPr>
        <w:t>Weight</w:t>
      </w:r>
      <w:r>
        <w:rPr>
          <w:rFonts w:hint="eastAsia" w:ascii="Times New Roman" w:hAnsi="Times New Roman" w:cs="Times New Roman"/>
          <w:sz w:val="28"/>
          <w:szCs w:val="28"/>
        </w:rPr>
        <w:t>:</w:t>
      </w:r>
      <w:r>
        <w:rPr>
          <w:rFonts w:ascii="Times New Roman" w:hAnsi="Times New Roman" w:eastAsia="BatangChe" w:cs="Times New Roman"/>
          <w:sz w:val="28"/>
          <w:szCs w:val="28"/>
        </w:rPr>
        <w:t xml:space="preserve"> </w:t>
      </w:r>
      <w:r>
        <w:rPr>
          <w:rFonts w:hint="eastAsia" w:ascii="Times New Roman" w:hAnsi="Times New Roman" w:eastAsia="宋体" w:cs="Times New Roman"/>
          <w:sz w:val="28"/>
          <w:szCs w:val="28"/>
          <w:lang w:val="en-US" w:eastAsia="zh-CN"/>
        </w:rPr>
        <w:t>4.29</w:t>
      </w:r>
      <w:r>
        <w:rPr>
          <w:rFonts w:ascii="Times New Roman" w:hAnsi="Times New Roman" w:eastAsia="BatangChe" w:cs="Times New Roman"/>
          <w:sz w:val="28"/>
          <w:szCs w:val="28"/>
        </w:rPr>
        <w:t xml:space="preserve"> kg</w:t>
      </w:r>
      <w:bookmarkStart w:id="0" w:name="_GoBack"/>
      <w:bookmarkEnd w:id="0"/>
    </w:p>
    <w:p w14:paraId="7398BA1B">
      <w:pPr>
        <w:spacing w:line="240" w:lineRule="atLeast"/>
        <w:rPr>
          <w:rFonts w:ascii="Times New Roman" w:hAnsi="Times New Roman" w:cs="Times New Roman"/>
          <w:b/>
          <w:sz w:val="28"/>
          <w:szCs w:val="28"/>
        </w:rPr>
      </w:pPr>
      <w:r>
        <w:rPr>
          <w:rFonts w:ascii="Times New Roman" w:hAnsi="Times New Roman" w:cs="Times New Roman"/>
          <w:b/>
          <w:sz w:val="28"/>
          <w:szCs w:val="28"/>
        </w:rPr>
        <w:t xml:space="preserve">Packing list </w:t>
      </w:r>
    </w:p>
    <w:tbl>
      <w:tblPr>
        <w:tblStyle w:val="7"/>
        <w:tblW w:w="0" w:type="auto"/>
        <w:tblInd w:w="1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3253"/>
        <w:gridCol w:w="1418"/>
        <w:gridCol w:w="1417"/>
        <w:gridCol w:w="2410"/>
      </w:tblGrid>
      <w:tr w14:paraId="1D90D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16" w:type="dxa"/>
            <w:tcBorders>
              <w:top w:val="single" w:color="auto" w:sz="4" w:space="0"/>
              <w:left w:val="single" w:color="auto" w:sz="4" w:space="0"/>
              <w:bottom w:val="single" w:color="auto" w:sz="4" w:space="0"/>
              <w:right w:val="single" w:color="auto" w:sz="4" w:space="0"/>
            </w:tcBorders>
            <w:vAlign w:val="center"/>
          </w:tcPr>
          <w:p w14:paraId="17E3C498">
            <w:pPr>
              <w:spacing w:line="240" w:lineRule="atLeast"/>
              <w:rPr>
                <w:rFonts w:ascii="Times New Roman" w:hAnsi="Times New Roman" w:cs="Times New Roman"/>
                <w:b/>
                <w:sz w:val="28"/>
                <w:szCs w:val="28"/>
              </w:rPr>
            </w:pPr>
            <w:r>
              <w:rPr>
                <w:rFonts w:ascii="Times New Roman" w:hAnsi="Times New Roman" w:cs="Times New Roman"/>
                <w:b/>
                <w:sz w:val="28"/>
                <w:szCs w:val="28"/>
              </w:rPr>
              <w:t>S/N</w:t>
            </w:r>
          </w:p>
        </w:tc>
        <w:tc>
          <w:tcPr>
            <w:tcW w:w="3253" w:type="dxa"/>
            <w:tcBorders>
              <w:top w:val="single" w:color="auto" w:sz="4" w:space="0"/>
              <w:left w:val="single" w:color="auto" w:sz="4" w:space="0"/>
              <w:bottom w:val="single" w:color="auto" w:sz="4" w:space="0"/>
              <w:right w:val="single" w:color="auto" w:sz="4" w:space="0"/>
            </w:tcBorders>
            <w:vAlign w:val="center"/>
          </w:tcPr>
          <w:p w14:paraId="5EF71DF6">
            <w:pPr>
              <w:spacing w:line="240" w:lineRule="atLeast"/>
              <w:rPr>
                <w:rFonts w:ascii="Times New Roman" w:hAnsi="Times New Roman" w:cs="Times New Roman"/>
                <w:b/>
                <w:sz w:val="28"/>
                <w:szCs w:val="28"/>
              </w:rPr>
            </w:pPr>
            <w:r>
              <w:rPr>
                <w:rFonts w:ascii="Times New Roman" w:hAnsi="Times New Roman" w:cs="Times New Roman"/>
                <w:b/>
                <w:sz w:val="28"/>
                <w:szCs w:val="28"/>
              </w:rPr>
              <w:t xml:space="preserve">Name </w:t>
            </w:r>
          </w:p>
        </w:tc>
        <w:tc>
          <w:tcPr>
            <w:tcW w:w="1418" w:type="dxa"/>
            <w:tcBorders>
              <w:top w:val="single" w:color="auto" w:sz="4" w:space="0"/>
              <w:left w:val="single" w:color="auto" w:sz="4" w:space="0"/>
              <w:bottom w:val="single" w:color="auto" w:sz="4" w:space="0"/>
              <w:right w:val="single" w:color="auto" w:sz="4" w:space="0"/>
            </w:tcBorders>
            <w:vAlign w:val="center"/>
          </w:tcPr>
          <w:p w14:paraId="3CE919A5">
            <w:pPr>
              <w:spacing w:line="240" w:lineRule="atLeast"/>
              <w:rPr>
                <w:rFonts w:ascii="Times New Roman" w:hAnsi="Times New Roman" w:cs="Times New Roman"/>
                <w:b/>
                <w:sz w:val="28"/>
                <w:szCs w:val="28"/>
              </w:rPr>
            </w:pPr>
            <w:r>
              <w:rPr>
                <w:rFonts w:ascii="Times New Roman" w:hAnsi="Times New Roman" w:cs="Times New Roman"/>
                <w:b/>
                <w:sz w:val="28"/>
                <w:szCs w:val="28"/>
              </w:rPr>
              <w:t xml:space="preserve">Unit </w:t>
            </w:r>
          </w:p>
        </w:tc>
        <w:tc>
          <w:tcPr>
            <w:tcW w:w="1417" w:type="dxa"/>
            <w:tcBorders>
              <w:top w:val="single" w:color="auto" w:sz="4" w:space="0"/>
              <w:left w:val="single" w:color="auto" w:sz="4" w:space="0"/>
              <w:bottom w:val="single" w:color="auto" w:sz="4" w:space="0"/>
              <w:right w:val="single" w:color="auto" w:sz="4" w:space="0"/>
            </w:tcBorders>
            <w:vAlign w:val="center"/>
          </w:tcPr>
          <w:p w14:paraId="7084C093">
            <w:pPr>
              <w:spacing w:line="240" w:lineRule="atLeast"/>
              <w:rPr>
                <w:rFonts w:ascii="Times New Roman" w:hAnsi="Times New Roman" w:cs="Times New Roman"/>
                <w:b/>
                <w:sz w:val="28"/>
                <w:szCs w:val="28"/>
              </w:rPr>
            </w:pPr>
            <w:r>
              <w:rPr>
                <w:rFonts w:ascii="Times New Roman" w:hAnsi="Times New Roman" w:cs="Times New Roman"/>
                <w:b/>
                <w:sz w:val="28"/>
                <w:szCs w:val="28"/>
              </w:rPr>
              <w:t xml:space="preserve">Quantity </w:t>
            </w:r>
          </w:p>
        </w:tc>
        <w:tc>
          <w:tcPr>
            <w:tcW w:w="2410" w:type="dxa"/>
            <w:tcBorders>
              <w:top w:val="single" w:color="auto" w:sz="4" w:space="0"/>
              <w:left w:val="single" w:color="auto" w:sz="4" w:space="0"/>
              <w:bottom w:val="single" w:color="auto" w:sz="4" w:space="0"/>
              <w:right w:val="single" w:color="auto" w:sz="4" w:space="0"/>
            </w:tcBorders>
            <w:vAlign w:val="center"/>
          </w:tcPr>
          <w:p w14:paraId="73716309">
            <w:pPr>
              <w:spacing w:line="240" w:lineRule="atLeast"/>
              <w:rPr>
                <w:rFonts w:ascii="Times New Roman" w:hAnsi="Times New Roman" w:cs="Times New Roman"/>
                <w:b/>
                <w:sz w:val="28"/>
                <w:szCs w:val="28"/>
              </w:rPr>
            </w:pPr>
            <w:r>
              <w:rPr>
                <w:rFonts w:ascii="Times New Roman" w:hAnsi="Times New Roman" w:cs="Times New Roman"/>
                <w:b/>
                <w:sz w:val="28"/>
                <w:szCs w:val="28"/>
              </w:rPr>
              <w:t xml:space="preserve">Remarks </w:t>
            </w:r>
          </w:p>
        </w:tc>
      </w:tr>
      <w:tr w14:paraId="2199C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16" w:type="dxa"/>
            <w:tcBorders>
              <w:top w:val="single" w:color="auto" w:sz="4" w:space="0"/>
              <w:left w:val="single" w:color="auto" w:sz="4" w:space="0"/>
              <w:bottom w:val="single" w:color="auto" w:sz="4" w:space="0"/>
              <w:right w:val="single" w:color="auto" w:sz="4" w:space="0"/>
            </w:tcBorders>
            <w:vAlign w:val="center"/>
          </w:tcPr>
          <w:p w14:paraId="65953C23">
            <w:pPr>
              <w:spacing w:line="240" w:lineRule="atLeast"/>
              <w:rPr>
                <w:rFonts w:ascii="Times New Roman" w:hAnsi="Times New Roman" w:cs="Times New Roman"/>
                <w:sz w:val="28"/>
                <w:szCs w:val="28"/>
              </w:rPr>
            </w:pPr>
            <w:r>
              <w:rPr>
                <w:rFonts w:ascii="Times New Roman" w:hAnsi="Times New Roman" w:cs="Times New Roman"/>
                <w:sz w:val="28"/>
                <w:szCs w:val="28"/>
              </w:rPr>
              <w:t>１</w:t>
            </w:r>
          </w:p>
        </w:tc>
        <w:tc>
          <w:tcPr>
            <w:tcW w:w="3253" w:type="dxa"/>
            <w:tcBorders>
              <w:top w:val="single" w:color="auto" w:sz="4" w:space="0"/>
              <w:left w:val="single" w:color="auto" w:sz="4" w:space="0"/>
              <w:bottom w:val="single" w:color="auto" w:sz="4" w:space="0"/>
              <w:right w:val="single" w:color="auto" w:sz="4" w:space="0"/>
            </w:tcBorders>
            <w:vAlign w:val="center"/>
          </w:tcPr>
          <w:p w14:paraId="4A4BE76A">
            <w:pPr>
              <w:spacing w:line="240" w:lineRule="atLeast"/>
              <w:rPr>
                <w:rFonts w:ascii="Times New Roman" w:hAnsi="Times New Roman" w:eastAsia="宋体" w:cs="Times New Roman"/>
                <w:sz w:val="28"/>
                <w:szCs w:val="28"/>
              </w:rPr>
            </w:pPr>
            <w:r>
              <w:rPr>
                <w:rFonts w:ascii="Times New Roman" w:hAnsi="Times New Roman" w:cs="Times New Roman"/>
                <w:sz w:val="28"/>
                <w:szCs w:val="28"/>
              </w:rPr>
              <w:t xml:space="preserve">M ain engine </w:t>
            </w:r>
          </w:p>
        </w:tc>
        <w:tc>
          <w:tcPr>
            <w:tcW w:w="1418" w:type="dxa"/>
            <w:tcBorders>
              <w:top w:val="single" w:color="auto" w:sz="4" w:space="0"/>
              <w:left w:val="single" w:color="auto" w:sz="4" w:space="0"/>
              <w:bottom w:val="single" w:color="auto" w:sz="4" w:space="0"/>
              <w:right w:val="single" w:color="auto" w:sz="4" w:space="0"/>
            </w:tcBorders>
            <w:vAlign w:val="center"/>
          </w:tcPr>
          <w:p w14:paraId="5D480026">
            <w:pPr>
              <w:spacing w:line="240" w:lineRule="atLeast"/>
              <w:rPr>
                <w:rFonts w:ascii="Times New Roman" w:hAnsi="Times New Roman" w:cs="Times New Roman"/>
                <w:sz w:val="28"/>
                <w:szCs w:val="28"/>
              </w:rPr>
            </w:pPr>
            <w:r>
              <w:rPr>
                <w:rFonts w:ascii="Times New Roman" w:hAnsi="Times New Roman" w:cs="Times New Roman"/>
                <w:sz w:val="28"/>
                <w:szCs w:val="28"/>
              </w:rPr>
              <w:t>set</w:t>
            </w:r>
          </w:p>
        </w:tc>
        <w:tc>
          <w:tcPr>
            <w:tcW w:w="1417" w:type="dxa"/>
            <w:tcBorders>
              <w:top w:val="single" w:color="auto" w:sz="4" w:space="0"/>
              <w:left w:val="single" w:color="auto" w:sz="4" w:space="0"/>
              <w:bottom w:val="single" w:color="auto" w:sz="4" w:space="0"/>
              <w:right w:val="single" w:color="auto" w:sz="4" w:space="0"/>
            </w:tcBorders>
            <w:vAlign w:val="center"/>
          </w:tcPr>
          <w:p w14:paraId="16A73578">
            <w:pPr>
              <w:spacing w:line="240" w:lineRule="atLeast"/>
              <w:rPr>
                <w:rFonts w:ascii="Times New Roman" w:hAnsi="Times New Roman" w:cs="Times New Roman"/>
                <w:sz w:val="28"/>
                <w:szCs w:val="28"/>
              </w:rPr>
            </w:pPr>
            <w:r>
              <w:rPr>
                <w:rFonts w:ascii="Times New Roman" w:hAnsi="Times New Roman" w:cs="Times New Roman"/>
                <w:sz w:val="28"/>
                <w:szCs w:val="28"/>
              </w:rPr>
              <w:t>１</w:t>
            </w:r>
          </w:p>
        </w:tc>
        <w:tc>
          <w:tcPr>
            <w:tcW w:w="2410" w:type="dxa"/>
            <w:tcBorders>
              <w:top w:val="single" w:color="auto" w:sz="4" w:space="0"/>
              <w:left w:val="single" w:color="auto" w:sz="4" w:space="0"/>
              <w:bottom w:val="single" w:color="auto" w:sz="4" w:space="0"/>
              <w:right w:val="single" w:color="auto" w:sz="4" w:space="0"/>
            </w:tcBorders>
          </w:tcPr>
          <w:p w14:paraId="3E4C489D">
            <w:pPr>
              <w:spacing w:line="240" w:lineRule="atLeast"/>
              <w:rPr>
                <w:rFonts w:ascii="Times New Roman" w:hAnsi="Times New Roman" w:cs="Times New Roman"/>
                <w:sz w:val="28"/>
                <w:szCs w:val="28"/>
              </w:rPr>
            </w:pPr>
          </w:p>
        </w:tc>
      </w:tr>
      <w:tr w14:paraId="531FC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16" w:type="dxa"/>
            <w:tcBorders>
              <w:top w:val="single" w:color="auto" w:sz="4" w:space="0"/>
              <w:left w:val="single" w:color="auto" w:sz="4" w:space="0"/>
              <w:bottom w:val="single" w:color="auto" w:sz="4" w:space="0"/>
              <w:right w:val="single" w:color="auto" w:sz="4" w:space="0"/>
            </w:tcBorders>
            <w:vAlign w:val="center"/>
          </w:tcPr>
          <w:p w14:paraId="0785E5B2">
            <w:pPr>
              <w:spacing w:line="240" w:lineRule="atLeast"/>
              <w:rPr>
                <w:rFonts w:ascii="Times New Roman" w:hAnsi="Times New Roman" w:cs="Times New Roman"/>
                <w:sz w:val="28"/>
                <w:szCs w:val="28"/>
              </w:rPr>
            </w:pPr>
            <w:r>
              <w:rPr>
                <w:rFonts w:ascii="Times New Roman" w:hAnsi="Times New Roman" w:cs="Times New Roman"/>
                <w:sz w:val="28"/>
                <w:szCs w:val="28"/>
              </w:rPr>
              <w:t>２</w:t>
            </w:r>
          </w:p>
        </w:tc>
        <w:tc>
          <w:tcPr>
            <w:tcW w:w="3253" w:type="dxa"/>
            <w:tcBorders>
              <w:top w:val="single" w:color="auto" w:sz="4" w:space="0"/>
              <w:left w:val="single" w:color="auto" w:sz="4" w:space="0"/>
              <w:bottom w:val="single" w:color="auto" w:sz="4" w:space="0"/>
              <w:right w:val="single" w:color="auto" w:sz="4" w:space="0"/>
            </w:tcBorders>
            <w:vAlign w:val="center"/>
          </w:tcPr>
          <w:p w14:paraId="687440D7">
            <w:pPr>
              <w:spacing w:line="240" w:lineRule="atLeast"/>
              <w:rPr>
                <w:rFonts w:ascii="Times New Roman" w:hAnsi="Times New Roman" w:eastAsia="宋体" w:cs="Times New Roman"/>
                <w:sz w:val="28"/>
                <w:szCs w:val="28"/>
              </w:rPr>
            </w:pPr>
            <w:r>
              <w:rPr>
                <w:rFonts w:ascii="Times New Roman" w:hAnsi="Times New Roman" w:cs="Times New Roman"/>
                <w:sz w:val="28"/>
                <w:szCs w:val="28"/>
              </w:rPr>
              <w:t>Oil storage tank</w:t>
            </w:r>
          </w:p>
        </w:tc>
        <w:tc>
          <w:tcPr>
            <w:tcW w:w="1418" w:type="dxa"/>
            <w:tcBorders>
              <w:top w:val="single" w:color="auto" w:sz="4" w:space="0"/>
              <w:left w:val="single" w:color="auto" w:sz="4" w:space="0"/>
              <w:bottom w:val="single" w:color="auto" w:sz="4" w:space="0"/>
              <w:right w:val="single" w:color="auto" w:sz="4" w:space="0"/>
            </w:tcBorders>
            <w:vAlign w:val="center"/>
          </w:tcPr>
          <w:p w14:paraId="608AC700">
            <w:pPr>
              <w:spacing w:line="240" w:lineRule="atLeast"/>
              <w:rPr>
                <w:rFonts w:ascii="Times New Roman" w:hAnsi="Times New Roman" w:cs="Times New Roman"/>
                <w:sz w:val="28"/>
                <w:szCs w:val="28"/>
              </w:rPr>
            </w:pPr>
            <w:r>
              <w:rPr>
                <w:rFonts w:ascii="Times New Roman" w:hAnsi="Times New Roman" w:cs="Times New Roman"/>
                <w:sz w:val="28"/>
                <w:szCs w:val="28"/>
              </w:rPr>
              <w:t>piece</w:t>
            </w:r>
          </w:p>
        </w:tc>
        <w:tc>
          <w:tcPr>
            <w:tcW w:w="1417" w:type="dxa"/>
            <w:tcBorders>
              <w:top w:val="single" w:color="auto" w:sz="4" w:space="0"/>
              <w:left w:val="single" w:color="auto" w:sz="4" w:space="0"/>
              <w:bottom w:val="single" w:color="auto" w:sz="4" w:space="0"/>
              <w:right w:val="single" w:color="auto" w:sz="4" w:space="0"/>
            </w:tcBorders>
            <w:vAlign w:val="center"/>
          </w:tcPr>
          <w:p w14:paraId="7A0730DB">
            <w:pPr>
              <w:spacing w:line="240" w:lineRule="atLeast"/>
              <w:rPr>
                <w:rFonts w:ascii="Times New Roman" w:hAnsi="Times New Roman" w:cs="Times New Roman"/>
                <w:sz w:val="28"/>
                <w:szCs w:val="28"/>
              </w:rPr>
            </w:pPr>
            <w:r>
              <w:rPr>
                <w:rFonts w:ascii="Times New Roman" w:hAnsi="Times New Roman" w:cs="Times New Roman"/>
                <w:sz w:val="28"/>
                <w:szCs w:val="28"/>
              </w:rPr>
              <w:t xml:space="preserve">1 </w:t>
            </w:r>
          </w:p>
        </w:tc>
        <w:tc>
          <w:tcPr>
            <w:tcW w:w="2410" w:type="dxa"/>
            <w:tcBorders>
              <w:top w:val="single" w:color="auto" w:sz="4" w:space="0"/>
              <w:left w:val="single" w:color="auto" w:sz="4" w:space="0"/>
              <w:bottom w:val="single" w:color="auto" w:sz="4" w:space="0"/>
              <w:right w:val="single" w:color="auto" w:sz="4" w:space="0"/>
            </w:tcBorders>
            <w:vAlign w:val="center"/>
          </w:tcPr>
          <w:p w14:paraId="129ED95F">
            <w:pPr>
              <w:spacing w:line="240" w:lineRule="atLeast"/>
              <w:rPr>
                <w:rFonts w:ascii="Times New Roman" w:hAnsi="Times New Roman" w:cs="Times New Roman"/>
                <w:sz w:val="28"/>
                <w:szCs w:val="28"/>
              </w:rPr>
            </w:pPr>
          </w:p>
        </w:tc>
      </w:tr>
      <w:tr w14:paraId="7B2AE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16" w:type="dxa"/>
            <w:tcBorders>
              <w:top w:val="single" w:color="auto" w:sz="4" w:space="0"/>
              <w:left w:val="single" w:color="auto" w:sz="4" w:space="0"/>
              <w:bottom w:val="single" w:color="auto" w:sz="4" w:space="0"/>
              <w:right w:val="single" w:color="auto" w:sz="4" w:space="0"/>
            </w:tcBorders>
            <w:vAlign w:val="center"/>
          </w:tcPr>
          <w:p w14:paraId="5B8E2755">
            <w:pPr>
              <w:spacing w:line="240" w:lineRule="atLeast"/>
              <w:rPr>
                <w:rFonts w:ascii="Times New Roman" w:hAnsi="Times New Roman" w:cs="Times New Roman"/>
                <w:sz w:val="28"/>
                <w:szCs w:val="28"/>
              </w:rPr>
            </w:pPr>
            <w:r>
              <w:rPr>
                <w:rFonts w:ascii="Times New Roman" w:hAnsi="Times New Roman" w:cs="Times New Roman"/>
                <w:sz w:val="28"/>
                <w:szCs w:val="28"/>
              </w:rPr>
              <w:t>３</w:t>
            </w:r>
          </w:p>
        </w:tc>
        <w:tc>
          <w:tcPr>
            <w:tcW w:w="3253" w:type="dxa"/>
            <w:tcBorders>
              <w:top w:val="single" w:color="auto" w:sz="4" w:space="0"/>
              <w:left w:val="single" w:color="auto" w:sz="4" w:space="0"/>
              <w:bottom w:val="single" w:color="auto" w:sz="4" w:space="0"/>
              <w:right w:val="single" w:color="auto" w:sz="4" w:space="0"/>
            </w:tcBorders>
            <w:vAlign w:val="center"/>
          </w:tcPr>
          <w:p w14:paraId="2CA2A996">
            <w:pPr>
              <w:spacing w:line="240" w:lineRule="atLeast"/>
              <w:rPr>
                <w:rFonts w:ascii="Times New Roman" w:hAnsi="Times New Roman" w:eastAsia="宋体" w:cs="Times New Roman"/>
                <w:sz w:val="28"/>
                <w:szCs w:val="28"/>
              </w:rPr>
            </w:pPr>
            <w:r>
              <w:rPr>
                <w:rFonts w:ascii="Times New Roman" w:hAnsi="Times New Roman" w:cs="Times New Roman"/>
                <w:sz w:val="28"/>
                <w:szCs w:val="28"/>
              </w:rPr>
              <w:t>Wick</w:t>
            </w:r>
          </w:p>
        </w:tc>
        <w:tc>
          <w:tcPr>
            <w:tcW w:w="1418" w:type="dxa"/>
            <w:tcBorders>
              <w:top w:val="single" w:color="auto" w:sz="4" w:space="0"/>
              <w:left w:val="single" w:color="auto" w:sz="4" w:space="0"/>
              <w:bottom w:val="single" w:color="auto" w:sz="4" w:space="0"/>
              <w:right w:val="single" w:color="auto" w:sz="4" w:space="0"/>
            </w:tcBorders>
            <w:vAlign w:val="center"/>
          </w:tcPr>
          <w:p w14:paraId="36467D35">
            <w:pPr>
              <w:spacing w:line="240" w:lineRule="atLeast"/>
              <w:rPr>
                <w:rFonts w:ascii="Times New Roman" w:hAnsi="Times New Roman" w:eastAsia="宋体" w:cs="Times New Roman"/>
                <w:sz w:val="28"/>
                <w:szCs w:val="28"/>
              </w:rPr>
            </w:pPr>
            <w:r>
              <w:rPr>
                <w:rFonts w:ascii="Times New Roman" w:hAnsi="Times New Roman" w:cs="Times New Roman"/>
                <w:sz w:val="28"/>
                <w:szCs w:val="28"/>
              </w:rPr>
              <w:t>piece</w:t>
            </w:r>
          </w:p>
        </w:tc>
        <w:tc>
          <w:tcPr>
            <w:tcW w:w="1417" w:type="dxa"/>
            <w:tcBorders>
              <w:top w:val="single" w:color="auto" w:sz="4" w:space="0"/>
              <w:left w:val="single" w:color="auto" w:sz="4" w:space="0"/>
              <w:bottom w:val="single" w:color="auto" w:sz="4" w:space="0"/>
              <w:right w:val="single" w:color="auto" w:sz="4" w:space="0"/>
            </w:tcBorders>
            <w:vAlign w:val="center"/>
          </w:tcPr>
          <w:p w14:paraId="33BEF695">
            <w:pPr>
              <w:spacing w:line="240" w:lineRule="atLeast"/>
              <w:rPr>
                <w:rFonts w:ascii="Times New Roman" w:hAnsi="Times New Roman" w:cs="Times New Roman"/>
                <w:sz w:val="28"/>
                <w:szCs w:val="28"/>
              </w:rPr>
            </w:pPr>
            <w:r>
              <w:rPr>
                <w:rFonts w:ascii="Times New Roman" w:hAnsi="Times New Roman" w:cs="Times New Roman"/>
                <w:sz w:val="28"/>
                <w:szCs w:val="28"/>
              </w:rPr>
              <w:t xml:space="preserve">2 </w:t>
            </w:r>
          </w:p>
        </w:tc>
        <w:tc>
          <w:tcPr>
            <w:tcW w:w="2410" w:type="dxa"/>
            <w:tcBorders>
              <w:top w:val="single" w:color="auto" w:sz="4" w:space="0"/>
              <w:left w:val="single" w:color="auto" w:sz="4" w:space="0"/>
              <w:bottom w:val="single" w:color="auto" w:sz="4" w:space="0"/>
              <w:right w:val="single" w:color="auto" w:sz="4" w:space="0"/>
            </w:tcBorders>
          </w:tcPr>
          <w:p w14:paraId="58E65E90">
            <w:pPr>
              <w:spacing w:line="240" w:lineRule="atLeast"/>
              <w:rPr>
                <w:rFonts w:ascii="Times New Roman" w:hAnsi="Times New Roman" w:cs="Times New Roman"/>
                <w:sz w:val="28"/>
                <w:szCs w:val="28"/>
              </w:rPr>
            </w:pPr>
          </w:p>
        </w:tc>
      </w:tr>
      <w:tr w14:paraId="4E5B2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16" w:type="dxa"/>
            <w:tcBorders>
              <w:top w:val="single" w:color="auto" w:sz="4" w:space="0"/>
              <w:left w:val="single" w:color="auto" w:sz="4" w:space="0"/>
              <w:bottom w:val="single" w:color="auto" w:sz="4" w:space="0"/>
              <w:right w:val="single" w:color="auto" w:sz="4" w:space="0"/>
            </w:tcBorders>
            <w:vAlign w:val="center"/>
          </w:tcPr>
          <w:p w14:paraId="74820263">
            <w:pPr>
              <w:spacing w:line="240" w:lineRule="atLeast"/>
              <w:rPr>
                <w:rFonts w:ascii="Times New Roman" w:hAnsi="Times New Roman" w:cs="Times New Roman"/>
                <w:sz w:val="28"/>
                <w:szCs w:val="28"/>
              </w:rPr>
            </w:pPr>
            <w:r>
              <w:rPr>
                <w:rFonts w:ascii="Times New Roman" w:hAnsi="Times New Roman" w:cs="Times New Roman"/>
                <w:sz w:val="28"/>
                <w:szCs w:val="28"/>
              </w:rPr>
              <w:t>4</w:t>
            </w:r>
          </w:p>
        </w:tc>
        <w:tc>
          <w:tcPr>
            <w:tcW w:w="3253" w:type="dxa"/>
            <w:tcBorders>
              <w:top w:val="single" w:color="auto" w:sz="4" w:space="0"/>
              <w:left w:val="single" w:color="auto" w:sz="4" w:space="0"/>
              <w:bottom w:val="single" w:color="auto" w:sz="4" w:space="0"/>
              <w:right w:val="single" w:color="auto" w:sz="4" w:space="0"/>
            </w:tcBorders>
            <w:vAlign w:val="center"/>
          </w:tcPr>
          <w:p w14:paraId="5A96BC61">
            <w:pPr>
              <w:spacing w:line="240" w:lineRule="atLeast"/>
              <w:rPr>
                <w:rFonts w:ascii="Times New Roman" w:hAnsi="Times New Roman" w:cs="Times New Roman"/>
                <w:sz w:val="28"/>
                <w:szCs w:val="28"/>
              </w:rPr>
            </w:pPr>
            <w:r>
              <w:rPr>
                <w:rFonts w:ascii="Times New Roman" w:hAnsi="Times New Roman" w:cs="Times New Roman"/>
                <w:sz w:val="28"/>
                <w:szCs w:val="28"/>
              </w:rPr>
              <w:t xml:space="preserve">Instructions </w:t>
            </w:r>
          </w:p>
        </w:tc>
        <w:tc>
          <w:tcPr>
            <w:tcW w:w="1418" w:type="dxa"/>
            <w:tcBorders>
              <w:top w:val="single" w:color="auto" w:sz="4" w:space="0"/>
              <w:left w:val="single" w:color="auto" w:sz="4" w:space="0"/>
              <w:bottom w:val="single" w:color="auto" w:sz="4" w:space="0"/>
              <w:right w:val="single" w:color="auto" w:sz="4" w:space="0"/>
            </w:tcBorders>
            <w:vAlign w:val="center"/>
          </w:tcPr>
          <w:p w14:paraId="62930D51">
            <w:pPr>
              <w:spacing w:line="240" w:lineRule="atLeast"/>
              <w:rPr>
                <w:rFonts w:ascii="Times New Roman" w:hAnsi="Times New Roman" w:cs="Times New Roman"/>
                <w:sz w:val="28"/>
                <w:szCs w:val="28"/>
              </w:rPr>
            </w:pPr>
            <w:r>
              <w:rPr>
                <w:rFonts w:ascii="Times New Roman" w:hAnsi="Times New Roman" w:cs="Times New Roman"/>
                <w:sz w:val="28"/>
                <w:szCs w:val="28"/>
              </w:rPr>
              <w:t>Copy</w:t>
            </w:r>
          </w:p>
        </w:tc>
        <w:tc>
          <w:tcPr>
            <w:tcW w:w="1417" w:type="dxa"/>
            <w:tcBorders>
              <w:top w:val="single" w:color="auto" w:sz="4" w:space="0"/>
              <w:left w:val="single" w:color="auto" w:sz="4" w:space="0"/>
              <w:bottom w:val="single" w:color="auto" w:sz="4" w:space="0"/>
              <w:right w:val="single" w:color="auto" w:sz="4" w:space="0"/>
            </w:tcBorders>
            <w:vAlign w:val="center"/>
          </w:tcPr>
          <w:p w14:paraId="109B98BD">
            <w:pPr>
              <w:spacing w:line="240" w:lineRule="atLeast"/>
              <w:rPr>
                <w:rFonts w:ascii="Times New Roman" w:hAnsi="Times New Roman" w:cs="Times New Roman"/>
                <w:sz w:val="28"/>
                <w:szCs w:val="28"/>
              </w:rPr>
            </w:pPr>
            <w:r>
              <w:rPr>
                <w:rFonts w:ascii="Times New Roman" w:hAnsi="Times New Roman" w:cs="Times New Roman"/>
                <w:sz w:val="28"/>
                <w:szCs w:val="28"/>
              </w:rPr>
              <w:t>1</w:t>
            </w:r>
          </w:p>
        </w:tc>
        <w:tc>
          <w:tcPr>
            <w:tcW w:w="2410" w:type="dxa"/>
            <w:tcBorders>
              <w:top w:val="single" w:color="auto" w:sz="4" w:space="0"/>
              <w:left w:val="single" w:color="auto" w:sz="4" w:space="0"/>
              <w:bottom w:val="single" w:color="auto" w:sz="4" w:space="0"/>
              <w:right w:val="single" w:color="auto" w:sz="4" w:space="0"/>
            </w:tcBorders>
          </w:tcPr>
          <w:p w14:paraId="52B619B6">
            <w:pPr>
              <w:spacing w:line="240" w:lineRule="atLeast"/>
              <w:rPr>
                <w:rFonts w:ascii="Times New Roman" w:hAnsi="Times New Roman" w:cs="Times New Roman"/>
                <w:sz w:val="28"/>
                <w:szCs w:val="28"/>
              </w:rPr>
            </w:pPr>
          </w:p>
        </w:tc>
      </w:tr>
      <w:tr w14:paraId="38210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16" w:type="dxa"/>
            <w:tcBorders>
              <w:top w:val="single" w:color="auto" w:sz="4" w:space="0"/>
              <w:left w:val="single" w:color="auto" w:sz="4" w:space="0"/>
              <w:bottom w:val="single" w:color="auto" w:sz="4" w:space="0"/>
              <w:right w:val="single" w:color="auto" w:sz="4" w:space="0"/>
            </w:tcBorders>
            <w:vAlign w:val="center"/>
          </w:tcPr>
          <w:p w14:paraId="6EAAE833">
            <w:pPr>
              <w:spacing w:line="240" w:lineRule="atLeast"/>
              <w:rPr>
                <w:rFonts w:ascii="Times New Roman" w:hAnsi="Times New Roman" w:cs="Times New Roman"/>
                <w:sz w:val="28"/>
                <w:szCs w:val="28"/>
              </w:rPr>
            </w:pPr>
            <w:r>
              <w:rPr>
                <w:rFonts w:ascii="Times New Roman" w:hAnsi="Times New Roman" w:cs="Times New Roman"/>
                <w:sz w:val="28"/>
                <w:szCs w:val="28"/>
              </w:rPr>
              <w:t>5</w:t>
            </w:r>
          </w:p>
        </w:tc>
        <w:tc>
          <w:tcPr>
            <w:tcW w:w="3253" w:type="dxa"/>
            <w:tcBorders>
              <w:top w:val="single" w:color="auto" w:sz="4" w:space="0"/>
              <w:left w:val="single" w:color="auto" w:sz="4" w:space="0"/>
              <w:bottom w:val="single" w:color="auto" w:sz="4" w:space="0"/>
              <w:right w:val="single" w:color="auto" w:sz="4" w:space="0"/>
            </w:tcBorders>
            <w:vAlign w:val="center"/>
          </w:tcPr>
          <w:p w14:paraId="1D3860D4">
            <w:pPr>
              <w:spacing w:line="240" w:lineRule="atLeast"/>
              <w:rPr>
                <w:rFonts w:ascii="Times New Roman" w:hAnsi="Times New Roman" w:cs="Times New Roman"/>
                <w:sz w:val="28"/>
                <w:szCs w:val="28"/>
              </w:rPr>
            </w:pPr>
            <w:r>
              <w:rPr>
                <w:rFonts w:ascii="Times New Roman" w:hAnsi="Times New Roman" w:cs="Times New Roman"/>
                <w:sz w:val="28"/>
                <w:szCs w:val="28"/>
              </w:rPr>
              <w:t>Certificate of conformity warranty card</w:t>
            </w:r>
          </w:p>
        </w:tc>
        <w:tc>
          <w:tcPr>
            <w:tcW w:w="1418" w:type="dxa"/>
            <w:tcBorders>
              <w:top w:val="single" w:color="auto" w:sz="4" w:space="0"/>
              <w:left w:val="single" w:color="auto" w:sz="4" w:space="0"/>
              <w:bottom w:val="single" w:color="auto" w:sz="4" w:space="0"/>
              <w:right w:val="single" w:color="auto" w:sz="4" w:space="0"/>
            </w:tcBorders>
            <w:vAlign w:val="center"/>
          </w:tcPr>
          <w:p w14:paraId="77B7F273">
            <w:pPr>
              <w:spacing w:line="240" w:lineRule="atLeast"/>
              <w:rPr>
                <w:rFonts w:ascii="Times New Roman" w:hAnsi="Times New Roman" w:cs="Times New Roman"/>
                <w:sz w:val="28"/>
                <w:szCs w:val="28"/>
              </w:rPr>
            </w:pPr>
            <w:r>
              <w:rPr>
                <w:rFonts w:ascii="Times New Roman" w:hAnsi="Times New Roman" w:cs="Times New Roman"/>
                <w:sz w:val="28"/>
                <w:szCs w:val="28"/>
              </w:rPr>
              <w:t>copy</w:t>
            </w:r>
          </w:p>
        </w:tc>
        <w:tc>
          <w:tcPr>
            <w:tcW w:w="1417" w:type="dxa"/>
            <w:tcBorders>
              <w:top w:val="single" w:color="auto" w:sz="4" w:space="0"/>
              <w:left w:val="single" w:color="auto" w:sz="4" w:space="0"/>
              <w:bottom w:val="single" w:color="auto" w:sz="4" w:space="0"/>
              <w:right w:val="single" w:color="auto" w:sz="4" w:space="0"/>
            </w:tcBorders>
            <w:vAlign w:val="center"/>
          </w:tcPr>
          <w:p w14:paraId="342ADAE4">
            <w:pPr>
              <w:spacing w:line="240" w:lineRule="atLeast"/>
              <w:rPr>
                <w:rFonts w:ascii="Times New Roman" w:hAnsi="Times New Roman" w:cs="Times New Roman"/>
                <w:sz w:val="28"/>
                <w:szCs w:val="28"/>
              </w:rPr>
            </w:pPr>
            <w:r>
              <w:rPr>
                <w:rFonts w:ascii="Times New Roman" w:hAnsi="Times New Roman" w:cs="Times New Roman"/>
                <w:sz w:val="28"/>
                <w:szCs w:val="28"/>
              </w:rPr>
              <w:t>1</w:t>
            </w:r>
          </w:p>
        </w:tc>
        <w:tc>
          <w:tcPr>
            <w:tcW w:w="2410" w:type="dxa"/>
            <w:tcBorders>
              <w:top w:val="single" w:color="auto" w:sz="4" w:space="0"/>
              <w:left w:val="single" w:color="auto" w:sz="4" w:space="0"/>
              <w:bottom w:val="single" w:color="auto" w:sz="4" w:space="0"/>
              <w:right w:val="single" w:color="auto" w:sz="4" w:space="0"/>
            </w:tcBorders>
          </w:tcPr>
          <w:p w14:paraId="70F1E02A">
            <w:pPr>
              <w:spacing w:line="240" w:lineRule="atLeast"/>
              <w:rPr>
                <w:rFonts w:ascii="Times New Roman" w:hAnsi="Times New Roman" w:cs="Times New Roman"/>
                <w:sz w:val="28"/>
                <w:szCs w:val="28"/>
              </w:rPr>
            </w:pPr>
          </w:p>
        </w:tc>
      </w:tr>
    </w:tbl>
    <w:p w14:paraId="78EF011D">
      <w:pPr>
        <w:spacing w:line="240" w:lineRule="atLeast"/>
        <w:rPr>
          <w:rFonts w:ascii="Times New Roman" w:hAnsi="Times New Roman" w:cs="Times New Roman"/>
          <w:sz w:val="28"/>
          <w:szCs w:val="28"/>
        </w:rPr>
      </w:pPr>
    </w:p>
    <w:sectPr>
      <w:headerReference r:id="rId3" w:type="default"/>
      <w:footerReference r:id="rId4" w:type="default"/>
      <w:pgSz w:w="11906" w:h="16838"/>
      <w:pgMar w:top="1440" w:right="1080" w:bottom="1440" w:left="1080" w:header="340" w:footer="113"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BatangChe">
    <w:altName w:val="Malgun Gothic"/>
    <w:panose1 w:val="02030609000101010101"/>
    <w:charset w:val="81"/>
    <w:family w:val="modern"/>
    <w:pitch w:val="default"/>
    <w:sig w:usb0="00000000" w:usb1="00000000" w:usb2="00000030" w:usb3="00000000" w:csb0="0008009F" w:csb1="00000000"/>
  </w:font>
  <w:font w:name="Arial">
    <w:panose1 w:val="020B0604020202020204"/>
    <w:charset w:val="00"/>
    <w:family w:val="swiss"/>
    <w:pitch w:val="default"/>
    <w:sig w:usb0="E0002EFF" w:usb1="C000785B" w:usb2="00000009" w:usb3="00000000" w:csb0="400001FF" w:csb1="FFFF0000"/>
  </w:font>
  <w:font w:name="Malgun Gothic">
    <w:panose1 w:val="020B0503020000020004"/>
    <w:charset w:val="81"/>
    <w:family w:val="auto"/>
    <w:pitch w:val="default"/>
    <w:sig w:usb0="9000002F" w:usb1="2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112C55">
    <w:pPr>
      <w:rPr>
        <w:rFonts w:ascii="Times New Roman" w:hAnsi="Times New Roman" w:cs="Times New Roman"/>
        <w:sz w:val="28"/>
        <w:szCs w:val="28"/>
      </w:rPr>
    </w:pPr>
    <w:r>
      <w:rPr>
        <w:rFonts w:ascii="Times New Roman" w:hAnsi="Times New Roman" w:cs="Times New Roman"/>
        <w:sz w:val="28"/>
        <w:szCs w:val="28"/>
      </w:rPr>
      <w:t xml:space="preserve">Shandong Shengtai Instrument Co.,ltd  </w:t>
    </w:r>
  </w:p>
  <w:p w14:paraId="65E4AAEC">
    <w:pPr>
      <w:rPr>
        <w:rFonts w:ascii="Times New Roman" w:hAnsi="Times New Roman" w:cs="Times New Roman"/>
        <w:sz w:val="28"/>
        <w:szCs w:val="28"/>
      </w:rPr>
    </w:pPr>
    <w:r>
      <w:rPr>
        <w:rFonts w:ascii="Times New Roman" w:hAnsi="Times New Roman" w:cs="Times New Roman"/>
        <w:sz w:val="28"/>
        <w:szCs w:val="28"/>
      </w:rPr>
      <w:t>ADD</w:t>
    </w:r>
    <w:r>
      <w:rPr>
        <w:rFonts w:ascii="Times New Roman" w:cs="Times New Roman"/>
        <w:sz w:val="28"/>
        <w:szCs w:val="28"/>
      </w:rPr>
      <w:t>：</w:t>
    </w:r>
    <w:r>
      <w:rPr>
        <w:rFonts w:ascii="Times New Roman" w:hAnsi="Times New Roman" w:cs="Times New Roman"/>
        <w:sz w:val="28"/>
        <w:szCs w:val="28"/>
      </w:rPr>
      <w:t xml:space="preserve">6-8 time base NO.15 lanxiang road tianqiao Area Jinan city  </w:t>
    </w:r>
  </w:p>
  <w:p w14:paraId="5BFD9E82">
    <w:pPr>
      <w:rPr>
        <w:rFonts w:ascii="Times New Roman" w:hAnsi="Times New Roman" w:cs="Times New Roman"/>
        <w:sz w:val="28"/>
        <w:szCs w:val="28"/>
      </w:rPr>
    </w:pPr>
    <w:r>
      <w:rPr>
        <w:rFonts w:ascii="Times New Roman" w:hAnsi="Times New Roman" w:cs="Times New Roman"/>
        <w:sz w:val="28"/>
        <w:szCs w:val="28"/>
      </w:rPr>
      <w:t>TEL</w:t>
    </w:r>
    <w:r>
      <w:rPr>
        <w:rFonts w:ascii="Times New Roman" w:cs="Times New Roman"/>
        <w:sz w:val="28"/>
        <w:szCs w:val="28"/>
      </w:rPr>
      <w:t>：</w:t>
    </w:r>
    <w:r>
      <w:rPr>
        <w:rFonts w:ascii="Times New Roman" w:hAnsi="Times New Roman" w:cs="Times New Roman"/>
        <w:sz w:val="28"/>
        <w:szCs w:val="28"/>
      </w:rPr>
      <w:t>+860531-85919987   +8685929987</w:t>
    </w:r>
  </w:p>
  <w:p w14:paraId="59F99F61">
    <w:pPr>
      <w:rPr>
        <w:rFonts w:ascii="Times New Roman" w:hAnsi="Times New Roman" w:cs="Times New Roman"/>
        <w:sz w:val="28"/>
        <w:szCs w:val="28"/>
      </w:rPr>
    </w:pPr>
    <w:r>
      <w:rPr>
        <w:rFonts w:ascii="Times New Roman" w:hAnsi="Times New Roman" w:cs="Times New Roman"/>
        <w:sz w:val="28"/>
        <w:szCs w:val="28"/>
      </w:rPr>
      <w:t>FAX</w:t>
    </w:r>
    <w:r>
      <w:rPr>
        <w:rFonts w:ascii="Times New Roman" w:cs="Times New Roman"/>
        <w:sz w:val="28"/>
        <w:szCs w:val="28"/>
      </w:rPr>
      <w:t>：</w:t>
    </w:r>
    <w:r>
      <w:rPr>
        <w:rFonts w:ascii="Times New Roman" w:hAnsi="Times New Roman" w:cs="Times New Roman"/>
        <w:sz w:val="28"/>
        <w:szCs w:val="28"/>
      </w:rPr>
      <w:t>+860531-85957987     Web</w:t>
    </w:r>
    <w:r>
      <w:rPr>
        <w:rFonts w:ascii="Times New Roman" w:cs="Times New Roman"/>
        <w:sz w:val="28"/>
        <w:szCs w:val="28"/>
      </w:rPr>
      <w:t>：</w:t>
    </w:r>
    <w:r>
      <w:fldChar w:fldCharType="begin"/>
    </w:r>
    <w:r>
      <w:instrText xml:space="preserve"> HYPERLINK "http://www.st-test.net" </w:instrText>
    </w:r>
    <w:r>
      <w:fldChar w:fldCharType="separate"/>
    </w:r>
    <w:r>
      <w:rPr>
        <w:rFonts w:ascii="Times New Roman" w:hAnsi="Times New Roman" w:cs="Times New Roman"/>
        <w:sz w:val="28"/>
        <w:szCs w:val="28"/>
      </w:rPr>
      <w:t>www.labtool.net</w:t>
    </w:r>
    <w:r>
      <w:rPr>
        <w:rFonts w:ascii="Times New Roman" w:hAnsi="Times New Roman" w:cs="Times New Roman"/>
        <w:sz w:val="28"/>
        <w:szCs w:val="28"/>
      </w:rPr>
      <w:fldChar w:fldCharType="end"/>
    </w:r>
    <w:r>
      <w:rPr>
        <w:rFonts w:ascii="Times New Roman" w:hAnsi="Times New Roman" w:cs="Times New Roman"/>
        <w:sz w:val="28"/>
        <w:szCs w:val="28"/>
      </w:rPr>
      <w:t>/en</w:t>
    </w:r>
  </w:p>
  <w:p w14:paraId="13DAF3BF">
    <w:pPr>
      <w:pStyle w:val="4"/>
      <w:tabs>
        <w:tab w:val="left" w:pos="2143"/>
        <w:tab w:val="clear" w:pos="4153"/>
      </w:tabs>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42328C">
    <w:pPr>
      <w:pStyle w:val="5"/>
      <w:ind w:firstLine="3274" w:firstLineChars="600"/>
      <w:rPr>
        <w:b/>
        <w:spacing w:val="52"/>
        <w:sz w:val="44"/>
        <w:szCs w:val="44"/>
      </w:rPr>
    </w:pPr>
    <w:r>
      <w:rPr>
        <w:rFonts w:hint="eastAsia"/>
        <w:b/>
        <w:spacing w:val="52"/>
        <w:sz w:val="44"/>
        <w:szCs w:val="44"/>
      </w:rPr>
      <w:drawing>
        <wp:anchor distT="0" distB="0" distL="114300" distR="114300" simplePos="0" relativeHeight="251659264" behindDoc="1" locked="0" layoutInCell="1" allowOverlap="1">
          <wp:simplePos x="0" y="0"/>
          <wp:positionH relativeFrom="column">
            <wp:posOffset>-9525</wp:posOffset>
          </wp:positionH>
          <wp:positionV relativeFrom="paragraph">
            <wp:posOffset>-240665</wp:posOffset>
          </wp:positionV>
          <wp:extent cx="1003300" cy="895350"/>
          <wp:effectExtent l="19050" t="0" r="6350" b="0"/>
          <wp:wrapNone/>
          <wp:docPr id="3" name="图片 1" descr="qiy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qiyelogo"/>
                  <pic:cNvPicPr>
                    <a:picLocks noChangeAspect="1"/>
                  </pic:cNvPicPr>
                </pic:nvPicPr>
                <pic:blipFill>
                  <a:blip r:embed="rId1"/>
                  <a:srcRect r="20157"/>
                  <a:stretch>
                    <a:fillRect/>
                  </a:stretch>
                </pic:blipFill>
                <pic:spPr>
                  <a:xfrm>
                    <a:off x="0" y="0"/>
                    <a:ext cx="1003300" cy="895350"/>
                  </a:xfrm>
                  <a:prstGeom prst="rect">
                    <a:avLst/>
                  </a:prstGeom>
                  <a:noFill/>
                  <a:ln w="9525">
                    <a:noFill/>
                  </a:ln>
                </pic:spPr>
              </pic:pic>
            </a:graphicData>
          </a:graphic>
        </wp:anchor>
      </w:drawing>
    </w:r>
    <w:r>
      <w:rPr>
        <w:rFonts w:hint="eastAsia"/>
        <w:b/>
        <w:spacing w:val="52"/>
        <w:sz w:val="44"/>
        <w:szCs w:val="44"/>
      </w:rPr>
      <w:t>山东盛泰仪器有限公司</w:t>
    </w:r>
  </w:p>
  <w:p w14:paraId="79F842B9">
    <w:pPr>
      <w:pStyle w:val="5"/>
      <w:rPr>
        <w:szCs w:val="36"/>
      </w:rPr>
    </w:pPr>
    <w:r>
      <w:rPr>
        <w:rFonts w:hint="eastAsia" w:ascii="Arial" w:hAnsi="Arial" w:eastAsia="黑体" w:cs="Arial"/>
        <w:color w:val="000000"/>
        <w:spacing w:val="20"/>
        <w:kern w:val="6"/>
        <w:sz w:val="32"/>
        <w:szCs w:val="32"/>
      </w:rPr>
      <w:t xml:space="preserve">           Shandong </w:t>
    </w:r>
    <w:r>
      <w:rPr>
        <w:rFonts w:ascii="Arial" w:hAnsi="Arial" w:eastAsia="黑体" w:cs="Arial"/>
        <w:color w:val="000000"/>
        <w:spacing w:val="20"/>
        <w:kern w:val="6"/>
        <w:sz w:val="32"/>
        <w:szCs w:val="32"/>
      </w:rPr>
      <w:t>Shen</w:t>
    </w:r>
    <w:r>
      <w:rPr>
        <w:rFonts w:hint="eastAsia" w:ascii="Arial" w:hAnsi="Arial" w:eastAsia="黑体" w:cs="Arial"/>
        <w:color w:val="000000"/>
        <w:spacing w:val="20"/>
        <w:kern w:val="6"/>
        <w:sz w:val="32"/>
        <w:szCs w:val="32"/>
      </w:rPr>
      <w:t>g</w:t>
    </w:r>
    <w:r>
      <w:rPr>
        <w:rFonts w:ascii="Arial" w:hAnsi="Arial" w:eastAsia="黑体" w:cs="Arial"/>
        <w:color w:val="000000"/>
        <w:spacing w:val="20"/>
        <w:kern w:val="6"/>
        <w:sz w:val="32"/>
        <w:szCs w:val="32"/>
      </w:rPr>
      <w:t>tai Instrument Co., Ltd</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866043"/>
    <w:multiLevelType w:val="multilevel"/>
    <w:tmpl w:val="07866043"/>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1">
    <w:nsid w:val="24312A13"/>
    <w:multiLevelType w:val="multilevel"/>
    <w:tmpl w:val="24312A13"/>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N2FiZGZkYjY2MGM0ODM2ZjNiZmM0MGU0M2Y1NjE0MTIifQ=="/>
  </w:docVars>
  <w:rsids>
    <w:rsidRoot w:val="1DB320C5"/>
    <w:rsid w:val="00064DAB"/>
    <w:rsid w:val="00121103"/>
    <w:rsid w:val="002D5696"/>
    <w:rsid w:val="00334A3E"/>
    <w:rsid w:val="004943E9"/>
    <w:rsid w:val="004A6E7B"/>
    <w:rsid w:val="004F0096"/>
    <w:rsid w:val="004F640A"/>
    <w:rsid w:val="00545CB2"/>
    <w:rsid w:val="005F0D75"/>
    <w:rsid w:val="0066412C"/>
    <w:rsid w:val="00686B35"/>
    <w:rsid w:val="007531BC"/>
    <w:rsid w:val="008346EF"/>
    <w:rsid w:val="00901A37"/>
    <w:rsid w:val="00AA4AF0"/>
    <w:rsid w:val="00AF6969"/>
    <w:rsid w:val="00B01E18"/>
    <w:rsid w:val="00B461E1"/>
    <w:rsid w:val="00B75EA0"/>
    <w:rsid w:val="00C03784"/>
    <w:rsid w:val="00C10328"/>
    <w:rsid w:val="00C23FB4"/>
    <w:rsid w:val="00D61EE3"/>
    <w:rsid w:val="00DC41F7"/>
    <w:rsid w:val="00E066D7"/>
    <w:rsid w:val="00E36D32"/>
    <w:rsid w:val="00F3334E"/>
    <w:rsid w:val="00F40645"/>
    <w:rsid w:val="00F503B2"/>
    <w:rsid w:val="13092301"/>
    <w:rsid w:val="1DB320C5"/>
    <w:rsid w:val="23FE7FCE"/>
    <w:rsid w:val="4B9674C0"/>
    <w:rsid w:val="4F291CBE"/>
    <w:rsid w:val="570575B4"/>
    <w:rsid w:val="57763E39"/>
    <w:rsid w:val="60891F9F"/>
    <w:rsid w:val="66A35E30"/>
    <w:rsid w:val="6A9F4C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link w:val="12"/>
    <w:qFormat/>
    <w:uiPriority w:val="9"/>
    <w:pPr>
      <w:widowControl/>
      <w:spacing w:before="100" w:beforeAutospacing="1" w:after="100" w:afterAutospacing="1"/>
      <w:jc w:val="left"/>
      <w:outlineLvl w:val="0"/>
    </w:pPr>
    <w:rPr>
      <w:rFonts w:ascii="宋体" w:hAnsi="宋体" w:eastAsia="宋体" w:cs="宋体"/>
      <w:b/>
      <w:bCs/>
      <w:kern w:val="36"/>
      <w:sz w:val="48"/>
      <w:szCs w:val="48"/>
    </w:rPr>
  </w:style>
  <w:style w:type="character" w:default="1" w:styleId="9">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1"/>
    <w:qFormat/>
    <w:uiPriority w:val="0"/>
    <w:rPr>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Normal (Web)"/>
    <w:basedOn w:val="1"/>
    <w:uiPriority w:val="0"/>
    <w:pPr>
      <w:spacing w:beforeAutospacing="1" w:afterAutospacing="1"/>
      <w:jc w:val="left"/>
    </w:pPr>
    <w:rPr>
      <w:rFonts w:cs="Times New Roman"/>
      <w:kern w:val="0"/>
      <w:sz w:val="24"/>
    </w:rPr>
  </w:style>
  <w:style w:type="table" w:styleId="8">
    <w:name w:val="Table Grid"/>
    <w:basedOn w:val="7"/>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0">
    <w:name w:val="Hyperlink"/>
    <w:basedOn w:val="9"/>
    <w:qFormat/>
    <w:uiPriority w:val="0"/>
    <w:rPr>
      <w:color w:val="354350"/>
      <w:u w:val="none"/>
    </w:rPr>
  </w:style>
  <w:style w:type="character" w:customStyle="1" w:styleId="11">
    <w:name w:val="批注框文本 Char"/>
    <w:basedOn w:val="9"/>
    <w:link w:val="3"/>
    <w:qFormat/>
    <w:uiPriority w:val="0"/>
    <w:rPr>
      <w:rFonts w:asciiTheme="minorHAnsi" w:hAnsiTheme="minorHAnsi" w:eastAsiaTheme="minorEastAsia" w:cstheme="minorBidi"/>
      <w:kern w:val="2"/>
      <w:sz w:val="18"/>
      <w:szCs w:val="18"/>
    </w:rPr>
  </w:style>
  <w:style w:type="character" w:customStyle="1" w:styleId="12">
    <w:name w:val="标题 1 Char"/>
    <w:basedOn w:val="9"/>
    <w:link w:val="2"/>
    <w:uiPriority w:val="9"/>
    <w:rPr>
      <w:rFonts w:ascii="宋体" w:hAnsi="宋体" w:cs="宋体"/>
      <w:b/>
      <w:bCs/>
      <w:kern w:val="36"/>
      <w:sz w:val="48"/>
      <w:szCs w:val="48"/>
    </w:rPr>
  </w:style>
  <w:style w:type="paragraph" w:styleId="13">
    <w:name w:val="List Paragraph"/>
    <w:basedOn w:val="1"/>
    <w:unhideWhenUsed/>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image" Target="media/image3.jpeg"/><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533</Words>
  <Characters>2614</Characters>
  <Lines>22</Lines>
  <Paragraphs>6</Paragraphs>
  <TotalTime>1</TotalTime>
  <ScaleCrop>false</ScaleCrop>
  <LinksUpToDate>false</LinksUpToDate>
  <CharactersWithSpaces>3101</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2019-01-24T08:56:00Z</dcterms:created>
  <dc:creator>candy(盛泰仪器)15665870097</dc:creator>
  <cp:lastModifiedBy>热心网友某某某</cp:lastModifiedBy>
  <dcterms:modified xsi:type="dcterms:W3CDTF">2026-03-11T06:05:54Z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C78982D990EE48A1B034944EFCD38CD5</vt:lpwstr>
  </property>
  <property fmtid="{D5CDD505-2E9C-101B-9397-08002B2CF9AE}" pid="4" name="KSOTemplateDocerSaveRecord">
    <vt:lpwstr>eyJoZGlkIjoiNjM3MTJlN2M1NDAwZWFiZGM4ZWQ3ZjY2ZTcxYWMzOTgiLCJ1c2VySWQiOiIxNTE0NTM1MzE2In0=</vt:lpwstr>
  </property>
</Properties>
</file>